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F6" w:rsidRPr="002670F6" w:rsidRDefault="002670F6" w:rsidP="00267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2670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 ТЕМА</w:t>
      </w:r>
    </w:p>
    <w:p w:rsidR="001F0F75" w:rsidRPr="002670F6" w:rsidRDefault="002670F6" w:rsidP="00267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670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 лекция. Основные направления индустриально-инновационного развития Казахстана на современном этапе</w:t>
      </w:r>
    </w:p>
    <w:bookmarkEnd w:id="0"/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Государственная промышленная политика Казахстана проводится на принципах реалистичности (объективная оценка текущей ситуации и фактических возможностей экономики), последовательности (планомерное достижение поставленных долгосрочных целей), прагматичности (четкое видение достижения поставленных целей).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С 2010 года было начато осуществление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промышленной политики как элемента диверсификации экономики.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При этом под диверсификацией понимается обеспечение большей устойчивости экономики путем снижения влияния горнодобывающего сектора через стимулирование секторов, наименее зависящих от волатильности на сырьевых рынках и других неконтролируемых факторов.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К таким секторам отнесены обрабатывающий сектор и сектора продуктивных услуг.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Продуктивные услуги – услуги, связанные с созданием реальной экономической ценности, а не с перераспределением добавленной стоимости (финансовые, торговые, посреднические услуги). К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продуктивным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 xml:space="preserve"> можно отнести инжиниринг и сервис, транспортные, инфокоммуникационные, космические, социальные услуги в области образования и здравоохранения, исследования, сферу обслуживания и быта, туризм и т.п.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F6">
        <w:rPr>
          <w:rFonts w:ascii="Times New Roman" w:hAnsi="Times New Roman" w:cs="Times New Roman"/>
          <w:sz w:val="28"/>
          <w:szCs w:val="28"/>
        </w:rPr>
        <w:t>Анализ стран со схожими условиями (территория, население, сырьевая направленность и др.) – Канады и Австралии – показал, что устойчивость экономик этих стран обеспечивается сохранением на протяжении длительного периода суммарной доли обрабатывающего сектора и продуктивных услуг на уровне 44-47% от ВВП (по итогам 2014 года обрабатывающий сектор – 11% и 6%, продуктивные услуги – 33% и 41% соответственно).</w:t>
      </w:r>
      <w:proofErr w:type="gramEnd"/>
    </w:p>
    <w:p w:rsidR="002670F6" w:rsidRPr="002670F6" w:rsidRDefault="002670F6" w:rsidP="002670F6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F6">
        <w:rPr>
          <w:rFonts w:ascii="Times New Roman" w:hAnsi="Times New Roman" w:cs="Times New Roman"/>
          <w:sz w:val="28"/>
          <w:szCs w:val="28"/>
        </w:rPr>
        <w:t xml:space="preserve">По итогам 2014 года, по данным Комитета статистики Министерства национальной экономики Республики Казахстан и расчетам </w:t>
      </w:r>
      <w:r w:rsidRPr="002670F6">
        <w:rPr>
          <w:rFonts w:ascii="Times New Roman" w:hAnsi="Times New Roman" w:cs="Times New Roman"/>
          <w:sz w:val="28"/>
          <w:szCs w:val="28"/>
        </w:rPr>
        <w:br/>
        <w:t xml:space="preserve">АО «Казахстанский институт развития индустрии» (далее – АО «КИРИ»), совокупная доля обрабатывающей промышленности и продуктивных услуг в Казахстане составила 39%. Для построения устойчивой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>-индустриальной экономики данный показатель должен быть доведен до 46% к 2035 году (с учетом реальных возможностей страны и глобальной тенденции по увеличению доли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 xml:space="preserve"> услуг в мировой экономике).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При этом доля обрабатывающей промышленности продолжит оставаться на сравнительно низком уровне – порядка 11-12%. Однако, важность развития обрабатывающего сектора заключается в формировании спроса на высокотехнологические услуги, создании инженерных компетенций и качественных рабочих мест, без которых невозможно формирование так называемой  «инновационной экономики».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в ближайшее время Казахстану предстоит продолжить процесс перехода от экономики, движимой фактором </w:t>
      </w:r>
      <w:r w:rsidRPr="002670F6">
        <w:rPr>
          <w:rFonts w:ascii="Times New Roman" w:hAnsi="Times New Roman" w:cs="Times New Roman"/>
          <w:sz w:val="28"/>
          <w:szCs w:val="28"/>
        </w:rPr>
        <w:lastRenderedPageBreak/>
        <w:t>«сырьевой конкурентоспособности», к экономике, основанной на росте за счет «фактора инвестиций», с достижением в дальнейшем предпосылок для начала формирования экономики, движимой «фактором инноваций».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Основным показателем перехода к эффективной инновационной экономике в обрабатывающем секторе станет достижение в нем уровня производительности труда, сравнимого со средним по странам ОЭСР. По расчетам, к 2035 году данный показатель составит 105,3 тыс. долл. США на одного работника.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По итогам 2014 года производительность труда в казахстанской обрабатывающей промышленности составляла порядка 42,6 тыс. долл. США (порядка 45%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 xml:space="preserve"> средней по ОЭСР</w:t>
      </w:r>
      <w:r w:rsidRPr="002670F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2670F6">
        <w:rPr>
          <w:rFonts w:ascii="Times New Roman" w:hAnsi="Times New Roman" w:cs="Times New Roman"/>
          <w:sz w:val="28"/>
          <w:szCs w:val="28"/>
        </w:rPr>
        <w:t>). Однако, по результатам 2015 года, с учетом влияния девальвации показатель может снизиться примерно до 30-</w:t>
      </w:r>
      <w:r w:rsidRPr="002670F6">
        <w:rPr>
          <w:rFonts w:ascii="Times New Roman" w:hAnsi="Times New Roman" w:cs="Times New Roman"/>
          <w:sz w:val="28"/>
          <w:szCs w:val="28"/>
        </w:rPr>
        <w:br/>
        <w:t>33 тыс. долл. США на одного работника, увеличив разрыв, который необходимо преодолеть.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Это предопределяет необходимость, помимо политики модернизации производств и реализации новых современных проектов, усилить стимулирование отечественных предприятий на внедрение наилучших практик, связанных со снижением себестоимости продукции, энергосбережением и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ресурсоэффективностью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>, повышением ее качества и скорости освоения, маркетинговым сопровождением и продвижением своей продукции.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Падение цен на основные сырьевые экспортные товары негативно влияет на показатели торгового баланса, что может повлечь переход на режим плавающего обменного курса национальной валюты. В этой связи в ближайшие годы в рамках промышленной политики будет уделено большое внимание развитию и поддержке предприятий,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 xml:space="preserve"> прежде всего на экспорт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несырьевой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Также следует учесть, что переход на режим плавающего обменного курса национальной валюты может повлечь ухудшение возможностей для приобретения зарубежных технологий и высокотехнологичного оборудования за счет удорожания, а также общее снижение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бизнес-активности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 xml:space="preserve"> из-за ухудшения доступа к кредитным ресурсам через отечественные банки второго уровня (далее – БВУ).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Критически необходимым условием для успешности промышленной политики является обеспечение устойчивости макроэкономических показателей на весь период действия Программы, в частности, резкие колебания курса национальной валюты, налоговая и денежно-кредитная политики, не ориентированные на развитие обрабатывающего сектора, недостаточные объемы кредитования реального сектора экономики оказывают ограничивающее влияние на достижение задач и целевых индикаторов Программы.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lastRenderedPageBreak/>
        <w:t xml:space="preserve">По расчетам, для увеличения объемов экспорта </w:t>
      </w:r>
      <w:r w:rsidRPr="002670F6">
        <w:rPr>
          <w:rFonts w:ascii="Times New Roman" w:eastAsia="Times New Roman" w:hAnsi="Times New Roman" w:cs="Times New Roman"/>
          <w:sz w:val="28"/>
          <w:szCs w:val="28"/>
        </w:rPr>
        <w:t>на 19%</w:t>
      </w:r>
      <w:r w:rsidRPr="002670F6">
        <w:rPr>
          <w:rFonts w:ascii="Times New Roman" w:hAnsi="Times New Roman" w:cs="Times New Roman"/>
          <w:sz w:val="28"/>
          <w:szCs w:val="28"/>
        </w:rPr>
        <w:t xml:space="preserve"> и повышения уровня производительности труда в обрабатывающем секторе на 22% к </w:t>
      </w:r>
      <w:r w:rsidRPr="002670F6">
        <w:rPr>
          <w:rFonts w:ascii="Times New Roman" w:hAnsi="Times New Roman" w:cs="Times New Roman"/>
          <w:sz w:val="28"/>
          <w:szCs w:val="28"/>
        </w:rPr>
        <w:br/>
        <w:t xml:space="preserve">2019 году в сравнении с 2015 годом необходимо 4,5 трлн. тенге инвестиций в основной капитал. Поэтому только скорейшая нормализация ситуации с отечественным финансовым сектором позволит обеспечить частный бизнес доступными денежными ресурсами, необходимыми для реализации проектов в обрабатывающем секторе. 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Значимой мерой по насыщению внутреннего рынка необходимыми денежными средствами станет новая политика привлечения иностранных инвестиций, ориентированная как на повышение адресности и эффективности работы с иностранными компаниями, в первую очередь, ТНК, так и на создание привлекательного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инвестклимата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>, соответствующего стандартам стран ОЭСР.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Кардинально изменится текущая система государственной поддержки с акцентом на освоение новых рынков и производительность. Ключевыми ориентирами станут переход на цифровую платформу отраслей экономики и социальной сферы, создание среды, стимулирующей развитие креативного человеческого капитала.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При этом наибольшую поддержку получат предприятия в 8 приоритетных секторах (черная металлургия, цветная металлургия, агрохимия, нефтепереработка, нефтегазохимия, производство автомобилей, производство продуктов питания, производство электрического оборудования) 5 отраслей (металлургия, химия, нефтепереработка, машиностроение, производство продуктов питания).</w:t>
      </w:r>
      <w:proofErr w:type="gramEnd"/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>, будут применяться следующие основные подходы при реализации Программы.</w:t>
      </w:r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Превалирование поддержки частных инициатив над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Будет осуществлен поэтапный переход от государственных инициатив к поддержке исключительно частных инициатив. 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F6">
        <w:rPr>
          <w:rFonts w:ascii="Times New Roman" w:hAnsi="Times New Roman" w:cs="Times New Roman"/>
          <w:sz w:val="28"/>
          <w:szCs w:val="28"/>
        </w:rPr>
        <w:t xml:space="preserve">В основном инструменты прямого государственного финансирования через национальные управляющие холдинги и институты развития будут сконцентрированы на завершении начатых крупных новых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отраслеобразующих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проектов, запуск которых позволит создать новую базу индустриального роста, а также на поддержке предприятий обрабатывающей промышленности по освоению новых рынков для реализации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товаров.</w:t>
      </w:r>
      <w:proofErr w:type="gramEnd"/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В сторону большего финансового участия инициатора будут изменены критерии по предоставлению мер адресной поддержки институтами развития (кредитование,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>, субсидирование процентных ставок по кредитам и т.п.). Ключевыми критериями для оказания финансовой поддержки станут увеличение производительности труда и расширение рынков для реализации обработанной продукции. Будет проведена работа по п</w:t>
      </w:r>
      <w:r w:rsidRPr="002670F6">
        <w:rPr>
          <w:rFonts w:ascii="Times New Roman" w:hAnsi="Times New Roman" w:cs="Times New Roman"/>
          <w:bCs/>
          <w:sz w:val="28"/>
          <w:szCs w:val="28"/>
        </w:rPr>
        <w:t>ересмотру подходов и критериев предоставления институтами развития инструментов государственной поддержки</w:t>
      </w:r>
      <w:r w:rsidRPr="002670F6">
        <w:rPr>
          <w:rFonts w:ascii="Times New Roman" w:hAnsi="Times New Roman" w:cs="Times New Roman"/>
          <w:sz w:val="28"/>
          <w:szCs w:val="28"/>
        </w:rPr>
        <w:t>.</w:t>
      </w:r>
    </w:p>
    <w:p w:rsidR="002670F6" w:rsidRPr="002670F6" w:rsidRDefault="002670F6" w:rsidP="002670F6">
      <w:pPr>
        <w:keepNext/>
        <w:widowControl w:val="0"/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Поддержку получит любое действующее предприятие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ненефтяного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</w:t>
      </w:r>
      <w:r w:rsidRPr="002670F6">
        <w:rPr>
          <w:rFonts w:ascii="Times New Roman" w:hAnsi="Times New Roman" w:cs="Times New Roman"/>
          <w:sz w:val="28"/>
          <w:szCs w:val="28"/>
        </w:rPr>
        <w:lastRenderedPageBreak/>
        <w:t>сектора, выходящее на экспорт и (или) обеспечивающее повышение уровня производительности труда. С 2017 года не менее 60%, а с 2018 года 80% всех средств пойдут по новой схеме.</w:t>
      </w:r>
      <w:r w:rsidRPr="002670F6">
        <w:rPr>
          <w:rFonts w:ascii="Times New Roman" w:hAnsi="Times New Roman" w:cs="Times New Roman"/>
          <w:sz w:val="28"/>
          <w:szCs w:val="28"/>
          <w:lang w:eastAsia="zh-CN"/>
        </w:rPr>
        <w:t xml:space="preserve"> Данные меры будут оказываться исходя из международных обязательств, принятых Республикой Казахстан в рамках ВТО, ЕАЭС и других организаций.</w:t>
      </w:r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Превалирование общесистемных мер поддержки над прямой проектной поддержкой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Начнется процесс постепенного переориентирования бюджетных затрат в основном на меры общесистемного характера – строительство инфраструктуры, сервисную поддержку и стимулирование освоения новых рынков и производительности труда, информационно-аналитическую поддержку, улучшение инвестиционного климата, доступность трудовых ресурсов, качество образования и научных исследований, стимулирующие технические стандарты и т.п.</w:t>
      </w:r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Смещение акцентов с защиты отечественных предприятий на внутреннем рынке на их ориентацию на внешние экспортные рынки методами, не противоречащими принятым международным обязательствам Республики Казахстан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Основным критерием при принятии решения о поддержке предприятий будет являться увеличение в результате такой поддержки сравнительной производительности труда и валового экспорта обработанной продукции. При этом в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импортозамещении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акцент будет смещен с прямого продвижения интересов отечественных товаропроизводителей. 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Будет проводиться целенаправленная работа по повышению локализации отечественных производств, обеспечен равный доступ к закупкам государственного и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сектора, а также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>. Также будет рассмотрена возможность допустимого приоритетного закупа отечественной продукции у субъектов предпринимательства, имеющих соответствующий уровень индустриального развития, подтверждаемый сертификацией Национальной палаты предпринимателей Республики Казахстан «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>» (далее – НПП «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>»), в рамках норм международных актов.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Исходя из данных принципов, будет продолжено совершенствование системы государственной поддержки обрабатывающей промышленности в рамках Программы.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С момента начала активной реализации новой промышленной политики за годы первой пятилетки были решены задачи по остановке процесса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деиндустриализации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страны, созданы базовые условия для формирования новой волны индустриального предпринимательства – в первую очередь, снятие инфраструктурных ограничений для реализации индустриального потенциала. На эти цели были направлены более 90% от выделенных бюджетных средств.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В ходе второй пятилетки помимо закрепления результатов, достигнутых ранее, будет завершено создание эффективной базовой индустрии, проводиться смещение акцентов на поддержку наиболее </w:t>
      </w:r>
      <w:r w:rsidRPr="002670F6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конкурентоспособных предприятий, бизнеса, ориентированного на повышение собственной производительности труда,  конкурентную борьбу не столько за внутренний рынок, сколько за внешние рынки. 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При этом к 2019 году планируется создать системные условия и комплекс адаптированных под цели стимулирования производительности труда и экспорта инструментов господдержки. Особую роль будет играть проникновение элементов автоматизации, роботизации и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производств во все отрасли экономики – от промышленности до сельского хозяйства, от торговли до транспорта. 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К моменту завершения второй пятилетки будут естественным образом с учетом глобальных технологических трендов выявлены возможные направления, по которым казахстанский индустриальный бизнес имеет максимальные шансы на продвижение на региональном рынке.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При этом Программа будет сконцентрирована исключительно на проблемах развития обрабатывающего сектора, что предопределяет необходимость параллельного запуска других программ по диверсификации и стимулированию смежных секторов экономики – в первую очередь, сектора продуктивных услуг, сельского хозяйства,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экономики и др.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В дальнейшем на последующих этапах индустриализации будет оказываться поддержка массовому выходу и закреплению на региональных рынках эффективных казахстанских производителей. Усилия бизнеса и государства сконцентрируются на формировании и закреплении за Казахстаном специализации в нескольких направлениях, по которым будет обеспечено вхождение в число стран индустриально-технологических лидеров, а также завершении формирования благоприятной инновационной среды, позволяющей генерировать новые востребованные технологии. Тем самым будет исполнена задача, поставленная в Стратегии «Казахстан-2050», по достижению Казахстаном уровня технологического развития развитых стран в течение 15-</w:t>
      </w:r>
      <w:r w:rsidRPr="002670F6">
        <w:rPr>
          <w:rFonts w:ascii="Times New Roman" w:hAnsi="Times New Roman" w:cs="Times New Roman"/>
          <w:sz w:val="28"/>
          <w:szCs w:val="28"/>
        </w:rPr>
        <w:br/>
        <w:t>20 лет.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Непременным условием успешной трансформации на всех этапах индустриализации станет непрерывная работа по повышению эффективности и производительности труда на каждом предприятии в промышленности и смежных секторах услуг.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Анализ текущего состояния, глобальных трендов экономического развития и их влияния на Казахстан показывает, что для перехода к устойчивой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>-индустриальной экономике, занимающей достойное место в мировой системе разделения труда, необходимо создание базовой индустрии через реализацию и (или) модернизацию крупных системообразующих проектов. Эти «центры тяжести» со временем позволят нарастить критическую массу индустриального предпринимательства, без которого невозможно создать гибкую, быстро адаптирующуюся к изменению внешних условий, промышленность.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F6">
        <w:rPr>
          <w:rFonts w:ascii="Times New Roman" w:hAnsi="Times New Roman" w:cs="Times New Roman"/>
          <w:sz w:val="28"/>
          <w:szCs w:val="28"/>
        </w:rPr>
        <w:t xml:space="preserve">Переход от сырьевой экономики к инновационной требует долгосрочной </w:t>
      </w:r>
      <w:r w:rsidRPr="002670F6">
        <w:rPr>
          <w:rFonts w:ascii="Times New Roman" w:hAnsi="Times New Roman" w:cs="Times New Roman"/>
          <w:sz w:val="28"/>
          <w:szCs w:val="28"/>
        </w:rPr>
        <w:lastRenderedPageBreak/>
        <w:t>и последовательной государственной политики, определяющей поступательную динамику, с учетом реалистичных возможностей бизнеса и государства, баланса экономического, политического и социального развития и прогресса.</w:t>
      </w:r>
      <w:proofErr w:type="gramEnd"/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В системе стимулирования и поддержки индустриального развития, которую необходимо выстроить для успешной реализации Программы, можно выделить 3 компонента, имеющие прямое и (или) косвенное влияние на развитие обрабатывающего сектора:</w:t>
      </w:r>
    </w:p>
    <w:p w:rsidR="002670F6" w:rsidRPr="002670F6" w:rsidRDefault="002670F6" w:rsidP="002670F6">
      <w:pPr>
        <w:pStyle w:val="a3"/>
        <w:keepNext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1) основные направления экономической политики, создающие благоприятные условия;</w:t>
      </w:r>
    </w:p>
    <w:p w:rsidR="002670F6" w:rsidRPr="002670F6" w:rsidRDefault="002670F6" w:rsidP="002670F6">
      <w:pPr>
        <w:pStyle w:val="a3"/>
        <w:keepNext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2) системные меры поддержки обрабатывающего сектора;</w:t>
      </w:r>
    </w:p>
    <w:p w:rsidR="002670F6" w:rsidRPr="002670F6" w:rsidRDefault="002670F6" w:rsidP="002670F6">
      <w:pPr>
        <w:pStyle w:val="a3"/>
        <w:keepNext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3) адресные меры поддержки инвестиционных проектов обрабатывающего сектора.</w:t>
      </w:r>
    </w:p>
    <w:p w:rsidR="002670F6" w:rsidRPr="002670F6" w:rsidRDefault="002670F6" w:rsidP="002670F6">
      <w:pPr>
        <w:pStyle w:val="a3"/>
        <w:keepNext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r w:rsidRPr="002670F6">
        <w:rPr>
          <w:rFonts w:ascii="Times New Roman" w:hAnsi="Times New Roman" w:cs="Times New Roman"/>
          <w:sz w:val="28"/>
          <w:szCs w:val="28"/>
        </w:rPr>
        <w:t>Основные направления экономической политики включают:</w:t>
      </w:r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F6">
        <w:rPr>
          <w:rFonts w:ascii="Times New Roman" w:hAnsi="Times New Roman" w:cs="Times New Roman"/>
          <w:sz w:val="28"/>
          <w:szCs w:val="28"/>
        </w:rPr>
        <w:t>финансовое стимулирование обрабатывающего сектора, обеспечивающее преференциальный доступ к кредитованию через БВУ (как по объемам, валюте, так и по стоимости кредитов, направляемых на развитие обрабатывающего сектора и реализацию высокопроизводительных и конкурентоспособных проектов), что, помимо прочего, также позволит снизить затраты бюджета на финансирование экономики, а национальным управляющим холдингам и институтам развития постепенно отойти от функций доведения финансовых ресурсов до бизнеса;</w:t>
      </w:r>
      <w:proofErr w:type="gramEnd"/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выработку механизма обеспечения экономической стабильности на период реализации Программы,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основывающейся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 xml:space="preserve"> в том числе на неизменности механизмов и условий предоставления государственной поддержки, гарантированном исполнении обязательств по выделению бюджетного финансирования и др.;</w:t>
      </w:r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повышение доступности квалифицированных кадров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через рост качества образования путем перехода на системные изменения во всех звеньях от дошкольного до послевузовского образования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>, а также облегчение доступа к рынку труда квалифицированных иностранных специалистов. Система образования будет ориентирована на краткосрочные и долгосрочные задачи по диверсификации и индустриализации экономики через адаптацию Государственной программы развития образования и науки на 2016-2019 годы и других соответствующих программ. В целях своевременного обеспечения индустриализации высококвалифицированными трудовыми ресурсами будут усовершенствованы подходы к прогнозированию кадровой потребности в среднесрочной перспективе;</w:t>
      </w:r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развитие конкуренции через снижение государственного присутствия в экономике (приватизация объектов 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 xml:space="preserve"> сектора, запрет на создание новых государственных компаний в обрабатывающем секторе, развитие института банкротства);</w:t>
      </w:r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создание инвестиционного климата по стандартам ОЭСР, включая продолжение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процесса уменьшения уровня администрирования бизнеса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>;</w:t>
      </w:r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проработку вопроса о целесообразности создания более выгодных </w:t>
      </w:r>
      <w:r w:rsidRPr="002670F6">
        <w:rPr>
          <w:rFonts w:ascii="Times New Roman" w:hAnsi="Times New Roman" w:cs="Times New Roman"/>
          <w:sz w:val="28"/>
          <w:szCs w:val="28"/>
        </w:rPr>
        <w:lastRenderedPageBreak/>
        <w:t>условий для инвестирования и предпринимательской деятельности в обрабатывающей промышленности, особенно в приоритетных секторах;</w:t>
      </w:r>
    </w:p>
    <w:p w:rsidR="002670F6" w:rsidRPr="002670F6" w:rsidRDefault="002670F6" w:rsidP="002670F6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инфраструктурную политику – обеспечение доступа к качественной и конкурентоспособной транспортной, инфокоммуникационной, космической, энергетической, коммунальной и газовой инфраструктуре.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>Реализация приведенных направлений экономической политики является критически важным условием успешности проводимой политики индустриализации. Неполная или неэффективная реализация комплекса указанных выше мероприятий приведет к снижению результатов, которых можно достичь в рамках Программы.</w:t>
      </w:r>
    </w:p>
    <w:p w:rsidR="002670F6" w:rsidRPr="002670F6" w:rsidRDefault="002670F6" w:rsidP="002670F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F6">
        <w:rPr>
          <w:rFonts w:ascii="Times New Roman" w:hAnsi="Times New Roman" w:cs="Times New Roman"/>
          <w:sz w:val="28"/>
          <w:szCs w:val="28"/>
        </w:rPr>
        <w:t xml:space="preserve">По всем указанным направлениям, начиная с 2016 года, в соответствующие программные документы будут вноситься изменения, выработанные уполномоченными органами совместно с </w:t>
      </w:r>
      <w:r w:rsidRPr="002670F6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в области государственной поддержки индустриально-инновационной деятельности</w:t>
      </w:r>
      <w:r w:rsidRPr="002670F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670F6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2670F6">
        <w:rPr>
          <w:rFonts w:ascii="Times New Roman" w:hAnsi="Times New Roman" w:cs="Times New Roman"/>
          <w:sz w:val="28"/>
          <w:szCs w:val="28"/>
        </w:rPr>
        <w:t xml:space="preserve"> при координации со стороны НПП «</w:t>
      </w:r>
      <w:proofErr w:type="spellStart"/>
      <w:r w:rsidRPr="002670F6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2670F6">
        <w:rPr>
          <w:rFonts w:ascii="Times New Roman" w:hAnsi="Times New Roman" w:cs="Times New Roman"/>
          <w:sz w:val="28"/>
          <w:szCs w:val="28"/>
        </w:rPr>
        <w:t>».</w:t>
      </w:r>
    </w:p>
    <w:p w:rsidR="002670F6" w:rsidRPr="002670F6" w:rsidRDefault="002670F6" w:rsidP="00267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0F6" w:rsidRPr="002670F6" w:rsidRDefault="00267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70F6" w:rsidRPr="0026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4E" w:rsidRDefault="0063764E" w:rsidP="002670F6">
      <w:pPr>
        <w:spacing w:after="0" w:line="240" w:lineRule="auto"/>
      </w:pPr>
      <w:r>
        <w:separator/>
      </w:r>
    </w:p>
  </w:endnote>
  <w:endnote w:type="continuationSeparator" w:id="0">
    <w:p w:rsidR="0063764E" w:rsidRDefault="0063764E" w:rsidP="0026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4E" w:rsidRDefault="0063764E" w:rsidP="002670F6">
      <w:pPr>
        <w:spacing w:after="0" w:line="240" w:lineRule="auto"/>
      </w:pPr>
      <w:r>
        <w:separator/>
      </w:r>
    </w:p>
  </w:footnote>
  <w:footnote w:type="continuationSeparator" w:id="0">
    <w:p w:rsidR="0063764E" w:rsidRDefault="0063764E" w:rsidP="002670F6">
      <w:pPr>
        <w:spacing w:after="0" w:line="240" w:lineRule="auto"/>
      </w:pPr>
      <w:r>
        <w:continuationSeparator/>
      </w:r>
    </w:p>
  </w:footnote>
  <w:footnote w:id="1">
    <w:p w:rsidR="002670F6" w:rsidRPr="00552C68" w:rsidRDefault="002670F6" w:rsidP="002670F6">
      <w:pPr>
        <w:jc w:val="both"/>
      </w:pPr>
      <w:r w:rsidRPr="00552C68">
        <w:rPr>
          <w:rStyle w:val="a7"/>
        </w:rPr>
        <w:footnoteRef/>
      </w:r>
      <w:r w:rsidRPr="00552C68">
        <w:t xml:space="preserve"> По расчету АО «КИРИ» на основе данных Комитета статистики Министерства национальной экономики Республики Казахстан и ОЭСР </w:t>
      </w:r>
      <w:hyperlink r:id="rId1" w:history="1">
        <w:r w:rsidRPr="00552C68">
          <w:rPr>
            <w:rStyle w:val="a8"/>
            <w:color w:val="000000" w:themeColor="text1"/>
          </w:rPr>
          <w:t>http://stats.oecd.org</w:t>
        </w:r>
      </w:hyperlink>
      <w:r>
        <w:rPr>
          <w:rStyle w:val="a8"/>
          <w:color w:val="000000" w:themeColor="text1"/>
        </w:rPr>
        <w:t>.</w:t>
      </w:r>
    </w:p>
    <w:p w:rsidR="002670F6" w:rsidRPr="00DA7631" w:rsidRDefault="002670F6" w:rsidP="002670F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665"/>
    <w:multiLevelType w:val="hybridMultilevel"/>
    <w:tmpl w:val="AD307828"/>
    <w:lvl w:ilvl="0" w:tplc="A24A8AC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559D"/>
    <w:multiLevelType w:val="hybridMultilevel"/>
    <w:tmpl w:val="DFD0EDA6"/>
    <w:lvl w:ilvl="0" w:tplc="9A3A4AF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42"/>
    <w:rsid w:val="001F0F75"/>
    <w:rsid w:val="002670F6"/>
    <w:rsid w:val="00341F42"/>
    <w:rsid w:val="006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670F6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2670F6"/>
  </w:style>
  <w:style w:type="paragraph" w:styleId="a5">
    <w:name w:val="footnote text"/>
    <w:basedOn w:val="a"/>
    <w:link w:val="a6"/>
    <w:uiPriority w:val="99"/>
    <w:semiHidden/>
    <w:unhideWhenUsed/>
    <w:rsid w:val="002670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70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670F6"/>
    <w:rPr>
      <w:vertAlign w:val="superscript"/>
    </w:rPr>
  </w:style>
  <w:style w:type="character" w:styleId="a8">
    <w:name w:val="Hyperlink"/>
    <w:basedOn w:val="a0"/>
    <w:uiPriority w:val="99"/>
    <w:unhideWhenUsed/>
    <w:rsid w:val="0026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670F6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2670F6"/>
  </w:style>
  <w:style w:type="paragraph" w:styleId="a5">
    <w:name w:val="footnote text"/>
    <w:basedOn w:val="a"/>
    <w:link w:val="a6"/>
    <w:uiPriority w:val="99"/>
    <w:semiHidden/>
    <w:unhideWhenUsed/>
    <w:rsid w:val="002670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70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670F6"/>
    <w:rPr>
      <w:vertAlign w:val="superscript"/>
    </w:rPr>
  </w:style>
  <w:style w:type="character" w:styleId="a8">
    <w:name w:val="Hyperlink"/>
    <w:basedOn w:val="a0"/>
    <w:uiPriority w:val="99"/>
    <w:unhideWhenUsed/>
    <w:rsid w:val="0026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s.oec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2494</Words>
  <Characters>14219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2019-01-18T16:34:00Z</dcterms:created>
  <dcterms:modified xsi:type="dcterms:W3CDTF">2019-01-18T16:40:00Z</dcterms:modified>
</cp:coreProperties>
</file>